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0C9E" w:rsidRPr="006C7055" w14:paraId="54F2C172" w14:textId="77777777" w:rsidTr="007B732F">
        <w:trPr>
          <w:cantSplit/>
          <w:trHeight w:val="41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D50845D" w14:textId="77777777" w:rsidR="00AC0C9E" w:rsidRPr="006C7055" w:rsidRDefault="00B54403" w:rsidP="00B526C4">
            <w:pPr>
              <w:pStyle w:val="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6C7055">
              <w:rPr>
                <w:rFonts w:ascii="Arial" w:hAnsi="Arial" w:cs="Arial"/>
                <w:color w:val="000000"/>
                <w:sz w:val="22"/>
                <w:szCs w:val="22"/>
              </w:rPr>
              <w:t>Сведения о к</w:t>
            </w:r>
            <w:r w:rsidR="00AC0C9E" w:rsidRPr="006C7055">
              <w:rPr>
                <w:rFonts w:ascii="Arial" w:hAnsi="Arial" w:cs="Arial"/>
                <w:color w:val="000000"/>
                <w:sz w:val="22"/>
                <w:szCs w:val="22"/>
              </w:rPr>
              <w:t>андидат</w:t>
            </w:r>
            <w:r w:rsidRPr="006C7055">
              <w:rPr>
                <w:rFonts w:ascii="Arial" w:hAnsi="Arial" w:cs="Arial"/>
                <w:color w:val="000000"/>
                <w:sz w:val="22"/>
                <w:szCs w:val="22"/>
              </w:rPr>
              <w:t>ах</w:t>
            </w:r>
            <w:r w:rsidR="00AC0C9E" w:rsidRPr="006C7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Наблюдательный </w:t>
            </w:r>
            <w:r w:rsidR="00811C40" w:rsidRPr="006C7055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5A4865">
              <w:rPr>
                <w:rFonts w:ascii="Arial" w:hAnsi="Arial" w:cs="Arial"/>
                <w:color w:val="000000"/>
                <w:sz w:val="22"/>
                <w:szCs w:val="22"/>
              </w:rPr>
              <w:t>овет П</w:t>
            </w:r>
            <w:r w:rsidR="00AC0C9E" w:rsidRPr="006C7055">
              <w:rPr>
                <w:rFonts w:ascii="Arial" w:hAnsi="Arial" w:cs="Arial"/>
                <w:color w:val="000000"/>
                <w:sz w:val="22"/>
                <w:szCs w:val="22"/>
              </w:rPr>
              <w:t xml:space="preserve">АО </w:t>
            </w:r>
            <w:r w:rsidR="00856D74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B30EE1" w:rsidRPr="006C7055">
              <w:rPr>
                <w:rFonts w:ascii="Arial" w:hAnsi="Arial" w:cs="Arial"/>
                <w:color w:val="000000"/>
                <w:sz w:val="22"/>
                <w:szCs w:val="22"/>
              </w:rPr>
              <w:t>ВМТП</w:t>
            </w:r>
            <w:r w:rsidR="00856D74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</w:tbl>
    <w:p w14:paraId="7FF419A9" w14:textId="77777777" w:rsidR="0014639E" w:rsidRPr="006165DA" w:rsidRDefault="0014639E" w:rsidP="0014639E">
      <w:pPr>
        <w:pStyle w:val="a3"/>
        <w:ind w:left="-142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54"/>
      </w:tblGrid>
      <w:tr w:rsidR="0042157F" w:rsidRPr="00946DE3" w14:paraId="64DFD3C5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52897423" w14:textId="5D47A4BB" w:rsidR="0042157F" w:rsidRPr="00946DE3" w:rsidRDefault="00557193" w:rsidP="009626F5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Юлия Владимировна</w:t>
            </w:r>
          </w:p>
        </w:tc>
        <w:tc>
          <w:tcPr>
            <w:tcW w:w="7654" w:type="dxa"/>
            <w:vAlign w:val="center"/>
          </w:tcPr>
          <w:p w14:paraId="62D8CD34" w14:textId="69EB11E1" w:rsidR="00337BC3" w:rsidRPr="00337BC3" w:rsidRDefault="00337BC3" w:rsidP="00337BC3">
            <w:pPr>
              <w:pStyle w:val="a8"/>
              <w:numPr>
                <w:ilvl w:val="0"/>
                <w:numId w:val="20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37BC3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337BC3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337BC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84</w:t>
            </w:r>
            <w:r w:rsidR="00B338E9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2435B6B5" w14:textId="4D207B63" w:rsidR="00337BC3" w:rsidRPr="00337BC3" w:rsidRDefault="00337BC3" w:rsidP="00337BC3">
            <w:pPr>
              <w:pStyle w:val="a8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BC3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proofErr w:type="spellStart"/>
            <w:r w:rsidR="00557193">
              <w:rPr>
                <w:rFonts w:ascii="Arial" w:hAnsi="Arial" w:cs="Arial"/>
                <w:sz w:val="20"/>
                <w:szCs w:val="20"/>
              </w:rPr>
              <w:t>МосГУ</w:t>
            </w:r>
            <w:proofErr w:type="spellEnd"/>
            <w:r w:rsidRPr="00337BC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юриспруденция, </w:t>
            </w:r>
            <w:r w:rsidRPr="00337BC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200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337BC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  <w:p w14:paraId="289647C8" w14:textId="284C970E" w:rsidR="00557193" w:rsidRDefault="00557193" w:rsidP="00217B0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Занимаемые должности:</w:t>
            </w:r>
          </w:p>
          <w:p w14:paraId="7E393369" w14:textId="59F82399" w:rsidR="00217B06" w:rsidRDefault="00557193" w:rsidP="00557193">
            <w:pPr>
              <w:pStyle w:val="a8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Руководитель корпоративной практики ООО «УК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ДаВинчи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», Генеральный директор ООО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Джанго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», Генеральный директор ООО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Арамболь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», Генеральный директор ООО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Стори</w:t>
            </w:r>
            <w:r w:rsidR="00A023E6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».</w:t>
            </w:r>
          </w:p>
          <w:p w14:paraId="34881D7B" w14:textId="77777777" w:rsidR="0042157F" w:rsidRPr="00946DE3" w:rsidRDefault="0042157F" w:rsidP="00856D74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946D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Доли участия в уставном капитале </w:t>
            </w:r>
            <w:r w:rsidR="005A4865" w:rsidRPr="00946DE3">
              <w:rPr>
                <w:rFonts w:ascii="Arial" w:hAnsi="Arial" w:cs="Arial"/>
                <w:bCs/>
                <w:iCs/>
                <w:sz w:val="20"/>
                <w:szCs w:val="20"/>
              </w:rPr>
              <w:t>П</w:t>
            </w:r>
            <w:r w:rsidRPr="00946DE3">
              <w:rPr>
                <w:rFonts w:ascii="Arial" w:hAnsi="Arial" w:cs="Arial"/>
                <w:sz w:val="20"/>
                <w:szCs w:val="20"/>
              </w:rPr>
              <w:t>АО</w:t>
            </w:r>
            <w:r w:rsidR="00856D74">
              <w:rPr>
                <w:rFonts w:ascii="Arial" w:hAnsi="Arial" w:cs="Arial"/>
                <w:sz w:val="20"/>
                <w:szCs w:val="20"/>
              </w:rPr>
              <w:t xml:space="preserve"> «ВМТП» </w:t>
            </w:r>
            <w:r w:rsidRPr="00946DE3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</w:t>
            </w:r>
            <w:r w:rsidR="000E3877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BB668B" w:rsidRPr="00946DE3" w14:paraId="4832BFA6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79CC2679" w14:textId="4066ADBF" w:rsidR="00BB668B" w:rsidRPr="000B0B1E" w:rsidRDefault="00557193" w:rsidP="00A02D7F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7654" w:type="dxa"/>
            <w:vAlign w:val="center"/>
          </w:tcPr>
          <w:p w14:paraId="7F0DD890" w14:textId="14115120" w:rsidR="007D078B" w:rsidRPr="007D078B" w:rsidRDefault="007D078B" w:rsidP="007D078B">
            <w:pPr>
              <w:pStyle w:val="a8"/>
              <w:numPr>
                <w:ilvl w:val="0"/>
                <w:numId w:val="25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7D078B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7D078B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7D078B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80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3CA582C4" w14:textId="31D4C85B" w:rsidR="007D078B" w:rsidRPr="007D078B" w:rsidRDefault="007D078B" w:rsidP="007D078B">
            <w:pPr>
              <w:pStyle w:val="a8"/>
              <w:numPr>
                <w:ilvl w:val="0"/>
                <w:numId w:val="25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7D078B">
              <w:rPr>
                <w:rFonts w:ascii="Arial" w:hAnsi="Arial" w:cs="Arial"/>
                <w:sz w:val="20"/>
                <w:szCs w:val="20"/>
              </w:rPr>
              <w:t>Образование: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Российский государственный социальный университет</w:t>
            </w:r>
            <w:r w:rsidRPr="007D078B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="00557193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юриспруденция, 2002</w:t>
            </w:r>
            <w:r w:rsidRPr="007D078B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  <w:p w14:paraId="27ECDE1A" w14:textId="4F06CDFD" w:rsidR="000D1BA6" w:rsidRPr="006509FB" w:rsidRDefault="00557193" w:rsidP="000D1BA6">
            <w:pPr>
              <w:pStyle w:val="a8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Занимаемые должности:</w:t>
            </w:r>
          </w:p>
          <w:p w14:paraId="477E7228" w14:textId="58448844" w:rsidR="000D1BA6" w:rsidRPr="000B0B1E" w:rsidRDefault="00557193" w:rsidP="00557193">
            <w:pPr>
              <w:pStyle w:val="a8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Руководитель практики по разрешению споров ООО «УК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Давинчи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 w:rsidR="000D1BA6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58EE4750" w14:textId="77777777" w:rsidR="00BB668B" w:rsidRPr="000B0B1E" w:rsidRDefault="000D1BA6" w:rsidP="000D1BA6">
            <w:pPr>
              <w:pStyle w:val="a8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0B0B1E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BB668B" w:rsidRPr="00946DE3" w14:paraId="109C6AC8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5DEF193F" w14:textId="02A9B40B" w:rsidR="00BB668B" w:rsidRPr="00946DE3" w:rsidRDefault="00557193" w:rsidP="00504EF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Гришковец Екатерина Николаевна</w:t>
            </w:r>
          </w:p>
        </w:tc>
        <w:tc>
          <w:tcPr>
            <w:tcW w:w="7654" w:type="dxa"/>
            <w:vAlign w:val="center"/>
          </w:tcPr>
          <w:p w14:paraId="4B757B51" w14:textId="3FF324F9" w:rsidR="005A79FA" w:rsidRDefault="005A79FA" w:rsidP="005A79FA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рождения: 19</w:t>
            </w:r>
            <w:r w:rsidR="00557193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4B5BDD" w14:textId="10E4AF5F" w:rsidR="005A79FA" w:rsidRDefault="005A79FA" w:rsidP="005A79FA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9FA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r w:rsidR="00557193">
              <w:rPr>
                <w:rFonts w:ascii="Arial" w:hAnsi="Arial" w:cs="Arial"/>
                <w:sz w:val="20"/>
                <w:szCs w:val="20"/>
              </w:rPr>
              <w:t>Московский государственный институт международных отношений (Университет) МИД России</w:t>
            </w:r>
            <w:r w:rsidRPr="005A79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7193">
              <w:rPr>
                <w:rFonts w:ascii="Arial" w:hAnsi="Arial" w:cs="Arial"/>
                <w:sz w:val="20"/>
                <w:szCs w:val="20"/>
              </w:rPr>
              <w:t>журналист-международник со знанием иностранного языка, 2003</w:t>
            </w:r>
            <w:r w:rsidRPr="005A79FA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14:paraId="51AB7B5D" w14:textId="75F30B2C" w:rsidR="005A79FA" w:rsidRPr="005A79FA" w:rsidRDefault="00BF47D8" w:rsidP="005A79FA">
            <w:pPr>
              <w:pStyle w:val="a8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 w:rsidR="005A79FA" w:rsidRPr="005A79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экономика, </w:t>
            </w:r>
            <w:r w:rsidR="005A79FA" w:rsidRPr="005A79F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A79FA" w:rsidRPr="005A79F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38A86CD7" w14:textId="5319334F" w:rsidR="00BB668B" w:rsidRPr="00BF47D8" w:rsidRDefault="00BF47D8" w:rsidP="005A79FA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Занимаемые должности:</w:t>
            </w:r>
          </w:p>
          <w:p w14:paraId="08D233B8" w14:textId="7676A0CE" w:rsidR="00BF47D8" w:rsidRPr="000D1BA6" w:rsidRDefault="00BF47D8" w:rsidP="00BF47D8">
            <w:pPr>
              <w:pStyle w:val="a8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Вице-президент по внешним связям ПАО «ДВМП».</w:t>
            </w:r>
          </w:p>
          <w:p w14:paraId="30643D9D" w14:textId="77777777" w:rsidR="000D1BA6" w:rsidRPr="00946DE3" w:rsidRDefault="000D1BA6" w:rsidP="005A79FA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0D1BA6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42157F" w:rsidRPr="00946DE3" w14:paraId="0666DA8E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5BB93DB7" w14:textId="702BC4B1" w:rsidR="0042157F" w:rsidRPr="000B0B1E" w:rsidRDefault="00BF47D8" w:rsidP="00A02D7F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Коростелев Аркадий</w:t>
            </w:r>
          </w:p>
        </w:tc>
        <w:tc>
          <w:tcPr>
            <w:tcW w:w="7654" w:type="dxa"/>
            <w:vAlign w:val="center"/>
          </w:tcPr>
          <w:p w14:paraId="4C55DD53" w14:textId="711AFF18" w:rsidR="004D00FE" w:rsidRPr="004D00FE" w:rsidRDefault="004D00FE" w:rsidP="004D00FE">
            <w:pPr>
              <w:pStyle w:val="a8"/>
              <w:numPr>
                <w:ilvl w:val="0"/>
                <w:numId w:val="23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4D00FE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4D00FE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4D00FE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 w:rsidR="00BF47D8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76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6CC5D52E" w14:textId="7D01ECB7" w:rsidR="004D00FE" w:rsidRPr="004D00FE" w:rsidRDefault="004D00FE" w:rsidP="004D00FE">
            <w:pPr>
              <w:pStyle w:val="a8"/>
              <w:numPr>
                <w:ilvl w:val="0"/>
                <w:numId w:val="23"/>
              </w:numPr>
              <w:ind w:left="35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0FE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r w:rsidR="00BF47D8">
              <w:rPr>
                <w:rFonts w:ascii="Arial" w:hAnsi="Arial" w:cs="Arial"/>
                <w:sz w:val="20"/>
                <w:szCs w:val="20"/>
                <w:lang w:val="en-US"/>
              </w:rPr>
              <w:t>Concordia</w:t>
            </w:r>
            <w:r w:rsidR="00BF47D8" w:rsidRPr="00BF4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7D8"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="00BF47D8" w:rsidRPr="00BF4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7D8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="00BF47D8">
              <w:rPr>
                <w:rFonts w:ascii="Arial" w:hAnsi="Arial" w:cs="Arial"/>
                <w:sz w:val="20"/>
                <w:szCs w:val="20"/>
              </w:rPr>
              <w:t xml:space="preserve">, США, </w:t>
            </w:r>
            <w:r w:rsidR="00BF47D8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ВА Международный бизнес, 1997</w:t>
            </w:r>
          </w:p>
          <w:p w14:paraId="413025F0" w14:textId="77777777" w:rsidR="00BF47D8" w:rsidRDefault="00BF47D8" w:rsidP="00BF47D8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Занимаемые должности:</w:t>
            </w:r>
          </w:p>
          <w:p w14:paraId="5678492A" w14:textId="6F21BF14" w:rsidR="00BF47D8" w:rsidRPr="00BF47D8" w:rsidRDefault="00BF47D8" w:rsidP="00BF47D8">
            <w:pPr>
              <w:pStyle w:val="a8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Президент, ПАО «ДВМП»</w:t>
            </w:r>
          </w:p>
          <w:p w14:paraId="0BBDAB72" w14:textId="7D0AFEBF" w:rsidR="0042157F" w:rsidRPr="000B0B1E" w:rsidRDefault="00BF47D8" w:rsidP="000D1BA6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0D1BA6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42157F" w:rsidRPr="00946DE3" w14:paraId="712EC40A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32DB3E85" w14:textId="741EF638" w:rsidR="0042157F" w:rsidRPr="000B0B1E" w:rsidRDefault="002A72DB" w:rsidP="00946DE3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Мельников Александр Владимирович</w:t>
            </w:r>
          </w:p>
        </w:tc>
        <w:tc>
          <w:tcPr>
            <w:tcW w:w="7654" w:type="dxa"/>
            <w:vAlign w:val="center"/>
          </w:tcPr>
          <w:p w14:paraId="66769A94" w14:textId="3739C929" w:rsidR="002A72DB" w:rsidRPr="004D00FE" w:rsidRDefault="002A72DB" w:rsidP="002A72DB">
            <w:pPr>
              <w:pStyle w:val="a8"/>
              <w:numPr>
                <w:ilvl w:val="0"/>
                <w:numId w:val="23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4D00FE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4D00FE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4D00FE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86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6F14FD33" w14:textId="251FA217" w:rsidR="002A72DB" w:rsidRPr="004D00FE" w:rsidRDefault="002A72DB" w:rsidP="002A72DB">
            <w:pPr>
              <w:pStyle w:val="a8"/>
              <w:numPr>
                <w:ilvl w:val="0"/>
                <w:numId w:val="23"/>
              </w:numPr>
              <w:ind w:left="35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0FE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r>
              <w:rPr>
                <w:rFonts w:ascii="Arial" w:hAnsi="Arial" w:cs="Arial"/>
                <w:sz w:val="20"/>
                <w:szCs w:val="20"/>
              </w:rPr>
              <w:t>Военный университет Министерства обороны Российской Федерации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юриспруденция, 2008 г.</w:t>
            </w:r>
          </w:p>
          <w:p w14:paraId="13427AC7" w14:textId="77777777" w:rsidR="002A72DB" w:rsidRDefault="002A72DB" w:rsidP="002A72DB">
            <w:pPr>
              <w:pStyle w:val="a8"/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Занимаемые должности:</w:t>
            </w:r>
          </w:p>
          <w:p w14:paraId="786CD179" w14:textId="6FD2D022" w:rsidR="002A72DB" w:rsidRPr="00BF47D8" w:rsidRDefault="002A72DB" w:rsidP="002A72DB">
            <w:pPr>
              <w:pStyle w:val="a8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Советник </w:t>
            </w:r>
            <w:r>
              <w:rPr>
                <w:rFonts w:ascii="Arial" w:hAnsi="Arial" w:cs="Arial"/>
                <w:sz w:val="20"/>
                <w:szCs w:val="20"/>
              </w:rPr>
              <w:t>Президент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, ПАО «ДВМП»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0A8220" w14:textId="01ACFD1B" w:rsidR="005A4865" w:rsidRPr="000B0B1E" w:rsidRDefault="002A72DB" w:rsidP="002A72DB">
            <w:pPr>
              <w:pStyle w:val="a8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0D1BA6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0D1BA6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42157F" w:rsidRPr="00946DE3" w14:paraId="6DA02C42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2A23993D" w14:textId="6D01DD16" w:rsidR="0042157F" w:rsidRPr="000B0B1E" w:rsidRDefault="002A72DB" w:rsidP="00455580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Плотский Вячеслав Николаевич</w:t>
            </w:r>
          </w:p>
        </w:tc>
        <w:tc>
          <w:tcPr>
            <w:tcW w:w="7654" w:type="dxa"/>
            <w:vAlign w:val="center"/>
          </w:tcPr>
          <w:p w14:paraId="742F8DBC" w14:textId="3DBB0920" w:rsidR="00B04BA1" w:rsidRPr="00B04BA1" w:rsidRDefault="00B04BA1" w:rsidP="00E809DA">
            <w:pPr>
              <w:pStyle w:val="a8"/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B04BA1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B04BA1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B04BA1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 w:rsidR="002A72DB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75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1CCF540A" w14:textId="15405C1C" w:rsidR="00B04BA1" w:rsidRPr="00B04BA1" w:rsidRDefault="00B04BA1" w:rsidP="00E809DA">
            <w:pPr>
              <w:pStyle w:val="a8"/>
              <w:numPr>
                <w:ilvl w:val="0"/>
                <w:numId w:val="24"/>
              </w:numPr>
              <w:ind w:left="35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BA1">
              <w:rPr>
                <w:rFonts w:ascii="Arial" w:hAnsi="Arial" w:cs="Arial"/>
                <w:sz w:val="20"/>
                <w:szCs w:val="20"/>
              </w:rPr>
              <w:t>Образование: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2DB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Байкальский государственный Университет, юриспруденция, 1998 г.</w:t>
            </w:r>
          </w:p>
          <w:p w14:paraId="611A6CFF" w14:textId="77777777" w:rsidR="002A72DB" w:rsidRDefault="002A72DB" w:rsidP="00E809DA">
            <w:pPr>
              <w:pStyle w:val="a8"/>
              <w:numPr>
                <w:ilvl w:val="0"/>
                <w:numId w:val="1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Занимаемые должности: </w:t>
            </w:r>
          </w:p>
          <w:p w14:paraId="32BA7853" w14:textId="398FD9D6" w:rsidR="000D1BA6" w:rsidRPr="00BA0687" w:rsidRDefault="002A72DB" w:rsidP="002A72DB">
            <w:pPr>
              <w:pStyle w:val="a8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Советник Президента ПАО «ДВМП</w:t>
            </w:r>
            <w:r w:rsidR="000D1BA6"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 w:rsidR="000D1BA6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13D50151" w14:textId="77777777" w:rsidR="0042157F" w:rsidRPr="000B0B1E" w:rsidRDefault="000D1BA6" w:rsidP="00E809DA">
            <w:pPr>
              <w:pStyle w:val="a8"/>
              <w:numPr>
                <w:ilvl w:val="0"/>
                <w:numId w:val="16"/>
              </w:numPr>
              <w:ind w:left="35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0B0B1E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42157F" w:rsidRPr="00946DE3" w14:paraId="67F1EDB3" w14:textId="77777777" w:rsidTr="00325257">
        <w:trPr>
          <w:cantSplit/>
          <w:trHeight w:val="371"/>
        </w:trPr>
        <w:tc>
          <w:tcPr>
            <w:tcW w:w="2268" w:type="dxa"/>
            <w:vAlign w:val="center"/>
          </w:tcPr>
          <w:p w14:paraId="34CEC3C8" w14:textId="4DD44FC6" w:rsidR="0042157F" w:rsidRPr="00946DE3" w:rsidRDefault="00BF47D8" w:rsidP="0042157F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Илья Борисович</w:t>
            </w:r>
          </w:p>
        </w:tc>
        <w:tc>
          <w:tcPr>
            <w:tcW w:w="7654" w:type="dxa"/>
            <w:vAlign w:val="center"/>
          </w:tcPr>
          <w:p w14:paraId="3EAA9A3C" w14:textId="25C0BEE5" w:rsidR="00D34A39" w:rsidRPr="00D34A39" w:rsidRDefault="00D34A39" w:rsidP="00E809DA">
            <w:pPr>
              <w:pStyle w:val="a8"/>
              <w:numPr>
                <w:ilvl w:val="0"/>
                <w:numId w:val="26"/>
              </w:numPr>
              <w:ind w:left="355" w:hanging="35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39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D34A39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D34A39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</w:t>
            </w:r>
            <w:r w:rsidR="00BF47D8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83</w:t>
            </w:r>
            <w:r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06246E5D" w14:textId="4A46CBED" w:rsidR="00D34A39" w:rsidRPr="00D34A39" w:rsidRDefault="00D34A39" w:rsidP="00E809DA">
            <w:pPr>
              <w:pStyle w:val="a8"/>
              <w:numPr>
                <w:ilvl w:val="0"/>
                <w:numId w:val="26"/>
              </w:num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D34A39">
              <w:rPr>
                <w:rFonts w:ascii="Arial" w:hAnsi="Arial" w:cs="Arial"/>
                <w:sz w:val="20"/>
                <w:szCs w:val="20"/>
              </w:rPr>
              <w:t>Образование: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7D8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Московская государственная юридическая академия, юрист</w:t>
            </w:r>
            <w:r w:rsidRPr="00D34A39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="00BF47D8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200</w:t>
            </w:r>
            <w:r w:rsidRPr="00D34A39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7 г.</w:t>
            </w:r>
          </w:p>
          <w:p w14:paraId="6F9F3A39" w14:textId="4A899BEF" w:rsidR="00BF47D8" w:rsidRDefault="00BF47D8" w:rsidP="00BF47D8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Занимаемые должности:</w:t>
            </w:r>
          </w:p>
          <w:p w14:paraId="045A284E" w14:textId="4844DAC3" w:rsidR="00BF47D8" w:rsidRPr="002A72DB" w:rsidRDefault="002A72DB" w:rsidP="002A72D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47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Член Наблюдательного совета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ПАО «ВМТП», Вице-президент по правовым и корпоративным вопросам, член Правления ПАО «ДВМП», </w:t>
            </w:r>
            <w:r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>член Совета директоров АО «Русская тройка»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ч</w:t>
            </w:r>
            <w:r w:rsidRPr="00BF47D8">
              <w:rPr>
                <w:rFonts w:ascii="Arial" w:hAnsi="Arial" w:cs="Arial"/>
                <w:bCs/>
                <w:iCs/>
                <w:sz w:val="20"/>
                <w:szCs w:val="20"/>
              </w:rPr>
              <w:t>лен Совета директор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ов ООО «Сервисный центр «ФЕСКО»,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Директор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FESCO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INTEGRATED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TRANSPORT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NORTH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AMERICF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INC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Директор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International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Paint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East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Russia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Ltd</w:t>
            </w:r>
            <w:r w:rsidR="00BF47D8" w:rsidRPr="002A72D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1612BD39" w14:textId="148958C3" w:rsidR="005A4865" w:rsidRPr="00946DE3" w:rsidRDefault="00BF47D8" w:rsidP="00BF47D8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47D8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ПАО «ВМТП» / обыкновенных акций не имеет.</w:t>
            </w:r>
            <w:r w:rsidR="002A72D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D1BA6"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Доли участия в уставном капитале </w:t>
            </w:r>
            <w:r w:rsidR="000D1BA6" w:rsidRPr="000B0B1E">
              <w:rPr>
                <w:rFonts w:ascii="Arial" w:hAnsi="Arial" w:cs="Arial"/>
                <w:sz w:val="20"/>
                <w:szCs w:val="20"/>
              </w:rPr>
              <w:t xml:space="preserve">ПАО «ВМТП» </w:t>
            </w:r>
            <w:r w:rsidR="000D1BA6" w:rsidRPr="000B0B1E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</w:tbl>
    <w:p w14:paraId="2B457984" w14:textId="533B1D9E" w:rsidR="001F6715" w:rsidRDefault="001F6715" w:rsidP="001F6715">
      <w:pPr>
        <w:pStyle w:val="a3"/>
        <w:ind w:left="-142"/>
        <w:jc w:val="center"/>
        <w:rPr>
          <w:rFonts w:ascii="Arial" w:hAnsi="Arial" w:cs="Arial"/>
          <w:color w:val="000000"/>
          <w:sz w:val="18"/>
          <w:szCs w:val="18"/>
        </w:rPr>
      </w:pPr>
    </w:p>
    <w:p w14:paraId="2353948C" w14:textId="77777777" w:rsidR="001F6715" w:rsidRPr="00E809DA" w:rsidRDefault="001F6715" w:rsidP="001F6715">
      <w:pPr>
        <w:pStyle w:val="a3"/>
        <w:ind w:left="-142"/>
        <w:jc w:val="center"/>
        <w:rPr>
          <w:rFonts w:ascii="Arial" w:hAnsi="Arial" w:cs="Arial"/>
          <w:color w:val="000000"/>
          <w:sz w:val="20"/>
        </w:rPr>
      </w:pPr>
      <w:r w:rsidRPr="00E809DA">
        <w:rPr>
          <w:rFonts w:ascii="Arial" w:hAnsi="Arial" w:cs="Arial"/>
          <w:color w:val="000000"/>
          <w:sz w:val="20"/>
        </w:rPr>
        <w:t>Согласия кандидатов на избрание в соответствующие органы общества письменно подтверждены</w:t>
      </w:r>
      <w:r w:rsidR="000E3877" w:rsidRPr="00E809DA">
        <w:rPr>
          <w:rFonts w:ascii="Arial" w:hAnsi="Arial" w:cs="Arial"/>
          <w:color w:val="000000"/>
          <w:sz w:val="20"/>
        </w:rPr>
        <w:t>.</w:t>
      </w:r>
    </w:p>
    <w:p w14:paraId="58767F4C" w14:textId="77777777" w:rsidR="0018687A" w:rsidRPr="00E809DA" w:rsidRDefault="0018687A">
      <w:pPr>
        <w:rPr>
          <w:rFonts w:ascii="Arial" w:hAnsi="Arial" w:cs="Arial"/>
          <w:color w:val="000000"/>
        </w:rPr>
      </w:pPr>
    </w:p>
    <w:sectPr w:rsidR="0018687A" w:rsidRPr="00E809DA" w:rsidSect="00AF1D6D">
      <w:type w:val="continuous"/>
      <w:pgSz w:w="11907" w:h="16840" w:code="9"/>
      <w:pgMar w:top="851" w:right="340" w:bottom="56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039"/>
    <w:multiLevelType w:val="hybridMultilevel"/>
    <w:tmpl w:val="BEDEC864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7EC1943"/>
    <w:multiLevelType w:val="hybridMultilevel"/>
    <w:tmpl w:val="AF34F5E6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BCE0949"/>
    <w:multiLevelType w:val="hybridMultilevel"/>
    <w:tmpl w:val="922C4D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A2C20"/>
    <w:multiLevelType w:val="hybridMultilevel"/>
    <w:tmpl w:val="14F2D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B3731"/>
    <w:multiLevelType w:val="hybridMultilevel"/>
    <w:tmpl w:val="23A8321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221641"/>
    <w:multiLevelType w:val="hybridMultilevel"/>
    <w:tmpl w:val="C8AE727A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2DA6F35"/>
    <w:multiLevelType w:val="hybridMultilevel"/>
    <w:tmpl w:val="3B443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262E"/>
    <w:multiLevelType w:val="hybridMultilevel"/>
    <w:tmpl w:val="4440BD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508E"/>
    <w:multiLevelType w:val="hybridMultilevel"/>
    <w:tmpl w:val="74C2CB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62AD0"/>
    <w:multiLevelType w:val="hybridMultilevel"/>
    <w:tmpl w:val="7594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1BBF"/>
    <w:multiLevelType w:val="hybridMultilevel"/>
    <w:tmpl w:val="4EE631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3F44CF2"/>
    <w:multiLevelType w:val="hybridMultilevel"/>
    <w:tmpl w:val="598E38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53D0E"/>
    <w:multiLevelType w:val="hybridMultilevel"/>
    <w:tmpl w:val="F83A8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34F8"/>
    <w:multiLevelType w:val="hybridMultilevel"/>
    <w:tmpl w:val="A14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02A6E"/>
    <w:multiLevelType w:val="hybridMultilevel"/>
    <w:tmpl w:val="FD963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51D1"/>
    <w:multiLevelType w:val="hybridMultilevel"/>
    <w:tmpl w:val="14DC8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6E8A"/>
    <w:multiLevelType w:val="hybridMultilevel"/>
    <w:tmpl w:val="D69CC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175F"/>
    <w:multiLevelType w:val="hybridMultilevel"/>
    <w:tmpl w:val="A600D0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54B8B"/>
    <w:multiLevelType w:val="hybridMultilevel"/>
    <w:tmpl w:val="998C2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4168"/>
    <w:multiLevelType w:val="hybridMultilevel"/>
    <w:tmpl w:val="C874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5EE"/>
    <w:multiLevelType w:val="hybridMultilevel"/>
    <w:tmpl w:val="F8628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77D40"/>
    <w:multiLevelType w:val="hybridMultilevel"/>
    <w:tmpl w:val="9D00B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50C3"/>
    <w:multiLevelType w:val="hybridMultilevel"/>
    <w:tmpl w:val="00FC20BE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76BB2D6D"/>
    <w:multiLevelType w:val="hybridMultilevel"/>
    <w:tmpl w:val="B264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75D2"/>
    <w:multiLevelType w:val="hybridMultilevel"/>
    <w:tmpl w:val="E2FE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02DE4"/>
    <w:multiLevelType w:val="hybridMultilevel"/>
    <w:tmpl w:val="5E24E5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24"/>
  </w:num>
  <w:num w:numId="12">
    <w:abstractNumId w:val="9"/>
  </w:num>
  <w:num w:numId="13">
    <w:abstractNumId w:val="23"/>
  </w:num>
  <w:num w:numId="14">
    <w:abstractNumId w:val="19"/>
  </w:num>
  <w:num w:numId="15">
    <w:abstractNumId w:val="4"/>
  </w:num>
  <w:num w:numId="16">
    <w:abstractNumId w:val="10"/>
  </w:num>
  <w:num w:numId="17">
    <w:abstractNumId w:val="25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"/>
  </w:num>
  <w:num w:numId="23">
    <w:abstractNumId w:val="0"/>
  </w:num>
  <w:num w:numId="24">
    <w:abstractNumId w:val="21"/>
  </w:num>
  <w:num w:numId="25">
    <w:abstractNumId w:val="6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7"/>
    <w:rsid w:val="000376CB"/>
    <w:rsid w:val="00043010"/>
    <w:rsid w:val="00067D89"/>
    <w:rsid w:val="00075D0D"/>
    <w:rsid w:val="0007646E"/>
    <w:rsid w:val="00080098"/>
    <w:rsid w:val="00094366"/>
    <w:rsid w:val="000B0B1E"/>
    <w:rsid w:val="000B3F19"/>
    <w:rsid w:val="000D1BA6"/>
    <w:rsid w:val="000D2B74"/>
    <w:rsid w:val="000E3877"/>
    <w:rsid w:val="00137E8F"/>
    <w:rsid w:val="00140971"/>
    <w:rsid w:val="0014639E"/>
    <w:rsid w:val="00181B03"/>
    <w:rsid w:val="0018687A"/>
    <w:rsid w:val="001878E0"/>
    <w:rsid w:val="00195F83"/>
    <w:rsid w:val="001B1E29"/>
    <w:rsid w:val="001B7051"/>
    <w:rsid w:val="001C0738"/>
    <w:rsid w:val="001E0D79"/>
    <w:rsid w:val="001F5E2A"/>
    <w:rsid w:val="001F6715"/>
    <w:rsid w:val="002029DD"/>
    <w:rsid w:val="00203392"/>
    <w:rsid w:val="00217B06"/>
    <w:rsid w:val="0022113C"/>
    <w:rsid w:val="00225971"/>
    <w:rsid w:val="002378D7"/>
    <w:rsid w:val="002426C3"/>
    <w:rsid w:val="00263E2E"/>
    <w:rsid w:val="00266AC4"/>
    <w:rsid w:val="00270E21"/>
    <w:rsid w:val="002741AA"/>
    <w:rsid w:val="002A72DB"/>
    <w:rsid w:val="002B4398"/>
    <w:rsid w:val="002B7B77"/>
    <w:rsid w:val="002C607D"/>
    <w:rsid w:val="002F1E73"/>
    <w:rsid w:val="002F4C58"/>
    <w:rsid w:val="00300F36"/>
    <w:rsid w:val="00325257"/>
    <w:rsid w:val="00337BC3"/>
    <w:rsid w:val="00384F30"/>
    <w:rsid w:val="00393F94"/>
    <w:rsid w:val="003B222D"/>
    <w:rsid w:val="003D5122"/>
    <w:rsid w:val="003E49A5"/>
    <w:rsid w:val="004136ED"/>
    <w:rsid w:val="0042157F"/>
    <w:rsid w:val="00447949"/>
    <w:rsid w:val="00447E2A"/>
    <w:rsid w:val="00452014"/>
    <w:rsid w:val="00455580"/>
    <w:rsid w:val="00463243"/>
    <w:rsid w:val="0047658B"/>
    <w:rsid w:val="004A6C52"/>
    <w:rsid w:val="004A6E17"/>
    <w:rsid w:val="004B2263"/>
    <w:rsid w:val="004D00FE"/>
    <w:rsid w:val="00521E72"/>
    <w:rsid w:val="00527BA9"/>
    <w:rsid w:val="00557193"/>
    <w:rsid w:val="00557FCE"/>
    <w:rsid w:val="005779C2"/>
    <w:rsid w:val="00581745"/>
    <w:rsid w:val="00583C31"/>
    <w:rsid w:val="0058538E"/>
    <w:rsid w:val="00587F3C"/>
    <w:rsid w:val="005A012A"/>
    <w:rsid w:val="005A4865"/>
    <w:rsid w:val="005A79FA"/>
    <w:rsid w:val="005C0C09"/>
    <w:rsid w:val="005C0FF5"/>
    <w:rsid w:val="005E1EF3"/>
    <w:rsid w:val="005E20D1"/>
    <w:rsid w:val="006165DA"/>
    <w:rsid w:val="006200F4"/>
    <w:rsid w:val="00627779"/>
    <w:rsid w:val="006509FB"/>
    <w:rsid w:val="006B513B"/>
    <w:rsid w:val="006C3487"/>
    <w:rsid w:val="006C7055"/>
    <w:rsid w:val="006D02E6"/>
    <w:rsid w:val="006D1F46"/>
    <w:rsid w:val="006F4E15"/>
    <w:rsid w:val="006F7734"/>
    <w:rsid w:val="00710290"/>
    <w:rsid w:val="00716DF8"/>
    <w:rsid w:val="00722883"/>
    <w:rsid w:val="00723E77"/>
    <w:rsid w:val="00731AB4"/>
    <w:rsid w:val="007350C1"/>
    <w:rsid w:val="00775C39"/>
    <w:rsid w:val="00781D60"/>
    <w:rsid w:val="007843F5"/>
    <w:rsid w:val="007B45E0"/>
    <w:rsid w:val="007B732F"/>
    <w:rsid w:val="007D078B"/>
    <w:rsid w:val="007E2BF9"/>
    <w:rsid w:val="00811C40"/>
    <w:rsid w:val="00853052"/>
    <w:rsid w:val="00856D74"/>
    <w:rsid w:val="008746D2"/>
    <w:rsid w:val="008809EB"/>
    <w:rsid w:val="00886800"/>
    <w:rsid w:val="00946DE3"/>
    <w:rsid w:val="0099766F"/>
    <w:rsid w:val="009A0D73"/>
    <w:rsid w:val="009D220E"/>
    <w:rsid w:val="00A023E6"/>
    <w:rsid w:val="00A10DE8"/>
    <w:rsid w:val="00A20332"/>
    <w:rsid w:val="00A579A3"/>
    <w:rsid w:val="00AC0C9E"/>
    <w:rsid w:val="00AC3C1A"/>
    <w:rsid w:val="00AC5169"/>
    <w:rsid w:val="00AF1D6D"/>
    <w:rsid w:val="00AF347B"/>
    <w:rsid w:val="00B04BA1"/>
    <w:rsid w:val="00B2068B"/>
    <w:rsid w:val="00B30EE1"/>
    <w:rsid w:val="00B338E9"/>
    <w:rsid w:val="00B526C4"/>
    <w:rsid w:val="00B54403"/>
    <w:rsid w:val="00B54C25"/>
    <w:rsid w:val="00B63BEE"/>
    <w:rsid w:val="00B94C73"/>
    <w:rsid w:val="00BA0687"/>
    <w:rsid w:val="00BA608D"/>
    <w:rsid w:val="00BB3643"/>
    <w:rsid w:val="00BB668B"/>
    <w:rsid w:val="00BB6709"/>
    <w:rsid w:val="00BD0BED"/>
    <w:rsid w:val="00BD3F89"/>
    <w:rsid w:val="00BF47D8"/>
    <w:rsid w:val="00C82F66"/>
    <w:rsid w:val="00C909A2"/>
    <w:rsid w:val="00CC2645"/>
    <w:rsid w:val="00CF2C6C"/>
    <w:rsid w:val="00D26230"/>
    <w:rsid w:val="00D34A39"/>
    <w:rsid w:val="00D42911"/>
    <w:rsid w:val="00D57A0A"/>
    <w:rsid w:val="00D660DA"/>
    <w:rsid w:val="00DA1275"/>
    <w:rsid w:val="00DA3157"/>
    <w:rsid w:val="00DB0BF6"/>
    <w:rsid w:val="00DC7B71"/>
    <w:rsid w:val="00DD319C"/>
    <w:rsid w:val="00DE1C8D"/>
    <w:rsid w:val="00E17603"/>
    <w:rsid w:val="00E504F4"/>
    <w:rsid w:val="00E612DB"/>
    <w:rsid w:val="00E66036"/>
    <w:rsid w:val="00E747E9"/>
    <w:rsid w:val="00E809DA"/>
    <w:rsid w:val="00E928DE"/>
    <w:rsid w:val="00EA18F6"/>
    <w:rsid w:val="00EB63CC"/>
    <w:rsid w:val="00EC1EEF"/>
    <w:rsid w:val="00ED2C39"/>
    <w:rsid w:val="00EE5B51"/>
    <w:rsid w:val="00EF6CCF"/>
    <w:rsid w:val="00F1102F"/>
    <w:rsid w:val="00F16A58"/>
    <w:rsid w:val="00F21457"/>
    <w:rsid w:val="00F25645"/>
    <w:rsid w:val="00F36650"/>
    <w:rsid w:val="00F36888"/>
    <w:rsid w:val="00F41392"/>
    <w:rsid w:val="00F83CF9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7FF9F"/>
  <w15:docId w15:val="{FAAF0B4F-4E0E-4371-8C39-812EAAC7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customStyle="1" w:styleId="SUBST">
    <w:name w:val="__SUBST"/>
    <w:rPr>
      <w:b/>
      <w:i/>
      <w:sz w:val="22"/>
    </w:rPr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FontStyle30">
    <w:name w:val="Font Style30"/>
    <w:basedOn w:val="a0"/>
    <w:rsid w:val="00270E21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rsid w:val="00270E21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270E21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semiHidden/>
    <w:rsid w:val="001B1E2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semiHidden/>
    <w:locked/>
    <w:rsid w:val="00AF1D6D"/>
    <w:rPr>
      <w:lang w:val="ru-RU" w:eastAsia="ru-RU" w:bidi="ar-SA"/>
    </w:rPr>
  </w:style>
  <w:style w:type="table" w:styleId="a7">
    <w:name w:val="Table Grid"/>
    <w:basedOn w:val="a1"/>
    <w:rsid w:val="00AF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0738"/>
    <w:pPr>
      <w:ind w:left="708"/>
    </w:pPr>
    <w:rPr>
      <w:sz w:val="24"/>
      <w:szCs w:val="24"/>
    </w:rPr>
  </w:style>
  <w:style w:type="character" w:customStyle="1" w:styleId="Subst0">
    <w:name w:val="Subst"/>
    <w:uiPriority w:val="99"/>
    <w:rsid w:val="00C909A2"/>
    <w:rPr>
      <w:b/>
      <w:bCs/>
      <w:i/>
      <w:iCs/>
    </w:rPr>
  </w:style>
  <w:style w:type="character" w:styleId="a9">
    <w:name w:val="annotation reference"/>
    <w:basedOn w:val="a0"/>
    <w:semiHidden/>
    <w:unhideWhenUsed/>
    <w:rsid w:val="00D660D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660DA"/>
  </w:style>
  <w:style w:type="character" w:customStyle="1" w:styleId="ab">
    <w:name w:val="Текст примечания Знак"/>
    <w:basedOn w:val="a0"/>
    <w:link w:val="aa"/>
    <w:semiHidden/>
    <w:rsid w:val="00D660DA"/>
  </w:style>
  <w:style w:type="paragraph" w:styleId="ac">
    <w:name w:val="annotation subject"/>
    <w:basedOn w:val="aa"/>
    <w:next w:val="aa"/>
    <w:link w:val="ad"/>
    <w:semiHidden/>
    <w:unhideWhenUsed/>
    <w:rsid w:val="00D660D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660DA"/>
    <w:rPr>
      <w:b/>
      <w:bCs/>
    </w:rPr>
  </w:style>
  <w:style w:type="paragraph" w:customStyle="1" w:styleId="ThinDelim">
    <w:name w:val="Thin Delim"/>
    <w:uiPriority w:val="99"/>
    <w:rsid w:val="00337BC3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Кандидаты в Наблюдательный Совет ОАО «ВМТП»</vt:lpstr>
    </vt:vector>
  </TitlesOfParts>
  <Company>ОАО ВМТП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Кандидаты в Наблюдательный Совет ОАО «ВМТП»</dc:title>
  <dc:creator>Каляпина В.П.</dc:creator>
  <cp:lastModifiedBy>Osipovich Tatyana</cp:lastModifiedBy>
  <cp:revision>14</cp:revision>
  <cp:lastPrinted>2015-06-01T23:51:00Z</cp:lastPrinted>
  <dcterms:created xsi:type="dcterms:W3CDTF">2019-05-30T10:09:00Z</dcterms:created>
  <dcterms:modified xsi:type="dcterms:W3CDTF">2020-10-02T04:42:00Z</dcterms:modified>
</cp:coreProperties>
</file>